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172B" w:rsidRDefault="00A9172B" w:rsidP="00267691">
      <w:pPr>
        <w:pStyle w:val="NormalWeb"/>
        <w:shd w:val="clear" w:color="auto" w:fill="FFFFFF"/>
        <w:spacing w:before="0" w:beforeAutospacing="0" w:after="0" w:afterAutospacing="0" w:line="480" w:lineRule="auto"/>
        <w:textAlignment w:val="baseline"/>
      </w:pPr>
    </w:p>
    <w:p w:rsidR="00A9172B" w:rsidRDefault="00A9172B"/>
    <w:p w:rsidR="00A9172B" w:rsidRDefault="00A9172B"/>
    <w:p w:rsidR="00A9172B" w:rsidRDefault="00A9172B"/>
    <w:p w:rsidR="00A9172B" w:rsidRDefault="00A9172B"/>
    <w:p w:rsidR="00A9172B" w:rsidRDefault="00A9172B"/>
    <w:p w:rsidR="00871602" w:rsidRDefault="00871602" w:rsidP="00871602">
      <w:pPr>
        <w:jc w:val="center"/>
      </w:pPr>
    </w:p>
    <w:p w:rsidR="00871602" w:rsidRDefault="00871602" w:rsidP="00871602">
      <w:pPr>
        <w:jc w:val="center"/>
      </w:pPr>
    </w:p>
    <w:p w:rsidR="00871602" w:rsidRPr="00C216AC" w:rsidRDefault="00CC6E0B" w:rsidP="00C216AC">
      <w:pPr>
        <w:spacing w:line="480" w:lineRule="auto"/>
        <w:jc w:val="center"/>
        <w:rPr>
          <w:rFonts w:ascii="Times New Roman" w:hAnsi="Times New Roman" w:cs="Times New Roman"/>
          <w:sz w:val="24"/>
          <w:szCs w:val="24"/>
        </w:rPr>
      </w:pPr>
      <w:r w:rsidRPr="00C216AC">
        <w:rPr>
          <w:rFonts w:ascii="Times New Roman" w:hAnsi="Times New Roman" w:cs="Times New Roman"/>
          <w:sz w:val="24"/>
          <w:szCs w:val="24"/>
        </w:rPr>
        <w:t>DEVELOPMENT OF CHRISTIANITY</w:t>
      </w:r>
    </w:p>
    <w:p w:rsidR="00871602" w:rsidRPr="00C216AC" w:rsidRDefault="00CC6E0B" w:rsidP="00C216AC">
      <w:pPr>
        <w:spacing w:line="480" w:lineRule="auto"/>
        <w:jc w:val="center"/>
        <w:rPr>
          <w:rFonts w:ascii="Times New Roman" w:hAnsi="Times New Roman" w:cs="Times New Roman"/>
          <w:sz w:val="24"/>
          <w:szCs w:val="24"/>
        </w:rPr>
      </w:pPr>
      <w:r w:rsidRPr="00C216AC">
        <w:rPr>
          <w:rFonts w:ascii="Times New Roman" w:hAnsi="Times New Roman" w:cs="Times New Roman"/>
          <w:sz w:val="24"/>
          <w:szCs w:val="24"/>
        </w:rPr>
        <w:t>STUDENTS NAME</w:t>
      </w:r>
    </w:p>
    <w:p w:rsidR="00871602" w:rsidRPr="00C216AC" w:rsidRDefault="00CC6E0B" w:rsidP="00C216AC">
      <w:pPr>
        <w:spacing w:line="480" w:lineRule="auto"/>
        <w:jc w:val="center"/>
        <w:rPr>
          <w:rFonts w:ascii="Times New Roman" w:hAnsi="Times New Roman" w:cs="Times New Roman"/>
          <w:sz w:val="24"/>
          <w:szCs w:val="24"/>
        </w:rPr>
      </w:pPr>
      <w:r w:rsidRPr="00C216AC">
        <w:rPr>
          <w:rFonts w:ascii="Times New Roman" w:hAnsi="Times New Roman" w:cs="Times New Roman"/>
          <w:sz w:val="24"/>
          <w:szCs w:val="24"/>
        </w:rPr>
        <w:t>INSTITUTION AFFILIATION</w:t>
      </w:r>
    </w:p>
    <w:p w:rsidR="00871602" w:rsidRPr="00C216AC" w:rsidRDefault="00CC6E0B" w:rsidP="00C216AC">
      <w:pPr>
        <w:spacing w:line="480" w:lineRule="auto"/>
        <w:jc w:val="center"/>
        <w:rPr>
          <w:rFonts w:ascii="Times New Roman" w:hAnsi="Times New Roman" w:cs="Times New Roman"/>
          <w:sz w:val="24"/>
          <w:szCs w:val="24"/>
        </w:rPr>
      </w:pPr>
      <w:r w:rsidRPr="00C216AC">
        <w:rPr>
          <w:rFonts w:ascii="Times New Roman" w:hAnsi="Times New Roman" w:cs="Times New Roman"/>
          <w:sz w:val="24"/>
          <w:szCs w:val="24"/>
        </w:rPr>
        <w:t>DATE OF SUBMISSION</w:t>
      </w:r>
    </w:p>
    <w:p w:rsidR="00A9172B" w:rsidRPr="00C216AC" w:rsidRDefault="00CC6E0B" w:rsidP="00C216AC">
      <w:pPr>
        <w:spacing w:line="480" w:lineRule="auto"/>
        <w:rPr>
          <w:rFonts w:ascii="Times New Roman" w:eastAsia="Times New Roman" w:hAnsi="Times New Roman" w:cs="Times New Roman"/>
          <w:sz w:val="24"/>
          <w:szCs w:val="24"/>
          <w:lang w:eastAsia="en-GB"/>
        </w:rPr>
      </w:pPr>
      <w:r w:rsidRPr="00C216AC">
        <w:rPr>
          <w:rFonts w:ascii="Times New Roman" w:hAnsi="Times New Roman" w:cs="Times New Roman"/>
          <w:sz w:val="24"/>
          <w:szCs w:val="24"/>
        </w:rPr>
        <w:br w:type="page"/>
      </w:r>
    </w:p>
    <w:p w:rsidR="00852F01" w:rsidRDefault="00852F01" w:rsidP="00267691">
      <w:pPr>
        <w:pStyle w:val="NormalWeb"/>
        <w:shd w:val="clear" w:color="auto" w:fill="FFFFFF"/>
        <w:spacing w:before="0" w:beforeAutospacing="0" w:after="0" w:afterAutospacing="0" w:line="480" w:lineRule="auto"/>
        <w:textAlignment w:val="baseline"/>
      </w:pPr>
      <w:r w:rsidRPr="00852F01">
        <w:lastRenderedPageBreak/>
        <w:t>2.</w:t>
      </w:r>
      <w:r w:rsidRPr="00852F01">
        <w:tab/>
      </w:r>
      <w:r w:rsidRPr="00852F01">
        <w:rPr>
          <w:b/>
        </w:rPr>
        <w:t>Discuss the development of (1) of the universal religions.</w:t>
      </w:r>
      <w:bookmarkStart w:id="0" w:name="_GoBack"/>
      <w:bookmarkEnd w:id="0"/>
    </w:p>
    <w:p w:rsidR="00267691" w:rsidRPr="00267691" w:rsidRDefault="00CC6E0B" w:rsidP="00267691">
      <w:pPr>
        <w:pStyle w:val="NormalWeb"/>
        <w:shd w:val="clear" w:color="auto" w:fill="FFFFFF"/>
        <w:spacing w:before="0" w:beforeAutospacing="0" w:after="0" w:afterAutospacing="0" w:line="480" w:lineRule="auto"/>
        <w:textAlignment w:val="baseline"/>
      </w:pPr>
      <w:r w:rsidRPr="00267691">
        <w:t>Christianity began as a movement within </w:t>
      </w:r>
      <w:hyperlink r:id="rId6" w:history="1">
        <w:r w:rsidRPr="00267691">
          <w:rPr>
            <w:rStyle w:val="Hyperlink"/>
            <w:color w:val="auto"/>
            <w:u w:val="none"/>
          </w:rPr>
          <w:t>Judaism</w:t>
        </w:r>
      </w:hyperlink>
      <w:r w:rsidRPr="00267691">
        <w:t> at a period when the Jews had long been dominated culturally and politically by foreign powers and had found in their </w:t>
      </w:r>
      <w:hyperlink r:id="rId7" w:history="1">
        <w:r w:rsidRPr="00267691">
          <w:rPr>
            <w:rStyle w:val="Hyperlink"/>
            <w:color w:val="auto"/>
            <w:u w:val="none"/>
          </w:rPr>
          <w:t>religion</w:t>
        </w:r>
      </w:hyperlink>
      <w:r w:rsidRPr="00267691">
        <w:t> (rather than in their politics or cultural achievements) the linchpin of their </w:t>
      </w:r>
      <w:hyperlink r:id="rId8" w:history="1">
        <w:r w:rsidRPr="00267691">
          <w:rPr>
            <w:rStyle w:val="Hyperlink"/>
            <w:color w:val="auto"/>
            <w:u w:val="none"/>
          </w:rPr>
          <w:t>community</w:t>
        </w:r>
      </w:hyperlink>
      <w:r w:rsidRPr="00267691">
        <w:t>. From </w:t>
      </w:r>
      <w:hyperlink r:id="rId9" w:history="1">
        <w:r w:rsidRPr="00267691">
          <w:rPr>
            <w:rStyle w:val="Hyperlink"/>
            <w:color w:val="auto"/>
            <w:u w:val="none"/>
          </w:rPr>
          <w:t>Amos</w:t>
        </w:r>
      </w:hyperlink>
      <w:r w:rsidRPr="00267691">
        <w:t> (8th century </w:t>
      </w:r>
      <w:r w:rsidRPr="00267691">
        <w:rPr>
          <w:rStyle w:val="text-smallcaps"/>
          <w:caps/>
          <w:bdr w:val="none" w:sz="0" w:space="0" w:color="auto" w:frame="1"/>
        </w:rPr>
        <w:t>BCE</w:t>
      </w:r>
      <w:r w:rsidRPr="00267691">
        <w:t xml:space="preserve">) onward, the doctrine of Israel was marked by tension between the concept of </w:t>
      </w:r>
      <w:hyperlink r:id="rId10" w:history="1">
        <w:r w:rsidRPr="00267691">
          <w:rPr>
            <w:rStyle w:val="Hyperlink"/>
            <w:color w:val="auto"/>
            <w:u w:val="none"/>
          </w:rPr>
          <w:t>monotheism</w:t>
        </w:r>
      </w:hyperlink>
      <w:r w:rsidRPr="00267691">
        <w:t>, with its </w:t>
      </w:r>
      <w:hyperlink r:id="rId11" w:history="1">
        <w:r w:rsidRPr="00267691">
          <w:rPr>
            <w:rStyle w:val="Hyperlink"/>
            <w:color w:val="auto"/>
            <w:u w:val="none"/>
          </w:rPr>
          <w:t>universal ideal</w:t>
        </w:r>
      </w:hyperlink>
      <w:r w:rsidRPr="00267691">
        <w:t> of </w:t>
      </w:r>
      <w:hyperlink r:id="rId12" w:history="1">
        <w:r w:rsidRPr="00267691">
          <w:rPr>
            <w:rStyle w:val="Hyperlink"/>
            <w:color w:val="auto"/>
            <w:u w:val="none"/>
          </w:rPr>
          <w:t>salvation</w:t>
        </w:r>
      </w:hyperlink>
      <w:r w:rsidRPr="00267691">
        <w:t> (for all nations), and the notion of God’s </w:t>
      </w:r>
      <w:hyperlink r:id="rId13" w:history="1">
        <w:r w:rsidRPr="00267691">
          <w:rPr>
            <w:rStyle w:val="Hyperlink"/>
            <w:color w:val="auto"/>
            <w:u w:val="none"/>
          </w:rPr>
          <w:t>particular choice of Israel</w:t>
        </w:r>
      </w:hyperlink>
      <w:r w:rsidRPr="00267691">
        <w:t>. In the </w:t>
      </w:r>
      <w:hyperlink r:id="rId14" w:history="1">
        <w:r w:rsidRPr="00267691">
          <w:rPr>
            <w:rStyle w:val="Hyperlink"/>
            <w:color w:val="auto"/>
            <w:u w:val="none"/>
          </w:rPr>
          <w:t>Hellenistic Age</w:t>
        </w:r>
      </w:hyperlink>
      <w:r w:rsidRPr="00267691">
        <w:t> (323 </w:t>
      </w:r>
      <w:r w:rsidRPr="00267691">
        <w:rPr>
          <w:rStyle w:val="text-smallcaps"/>
          <w:caps/>
          <w:bdr w:val="none" w:sz="0" w:space="0" w:color="auto" w:frame="1"/>
        </w:rPr>
        <w:t>BCE</w:t>
      </w:r>
      <w:r w:rsidRPr="00267691">
        <w:t>–3rd century </w:t>
      </w:r>
      <w:r w:rsidRPr="00267691">
        <w:rPr>
          <w:rStyle w:val="text-smallcaps"/>
          <w:caps/>
          <w:bdr w:val="none" w:sz="0" w:space="0" w:color="auto" w:frame="1"/>
        </w:rPr>
        <w:t>CE</w:t>
      </w:r>
      <w:r w:rsidRPr="00267691">
        <w:t>), the dispersion of the Jews throughout the kingdoms of the eastern Mediterranean and the </w:t>
      </w:r>
      <w:hyperlink r:id="rId15" w:history="1">
        <w:r w:rsidRPr="00267691">
          <w:rPr>
            <w:rStyle w:val="Hyperlink"/>
            <w:color w:val="auto"/>
            <w:u w:val="none"/>
          </w:rPr>
          <w:t>Roman Empire</w:t>
        </w:r>
      </w:hyperlink>
      <w:r w:rsidRPr="00267691">
        <w:t> reinforced this universalistic tendency. But the attempts of foreign rulers, especially the Syrian king </w:t>
      </w:r>
      <w:hyperlink r:id="rId16" w:history="1">
        <w:r w:rsidRPr="00267691">
          <w:rPr>
            <w:rStyle w:val="Hyperlink"/>
            <w:color w:val="auto"/>
            <w:u w:val="none"/>
          </w:rPr>
          <w:t>Antiochus IV Epiphanes</w:t>
        </w:r>
      </w:hyperlink>
      <w:r w:rsidRPr="00267691">
        <w:t> (in 168–165 </w:t>
      </w:r>
      <w:r w:rsidRPr="00267691">
        <w:rPr>
          <w:rStyle w:val="text-smallcaps"/>
          <w:caps/>
          <w:bdr w:val="none" w:sz="0" w:space="0" w:color="auto" w:frame="1"/>
        </w:rPr>
        <w:t>BCE</w:t>
      </w:r>
      <w:r w:rsidRPr="00267691">
        <w:t>), to impose Greek </w:t>
      </w:r>
      <w:hyperlink r:id="rId17" w:history="1">
        <w:r w:rsidRPr="00267691">
          <w:rPr>
            <w:rStyle w:val="Hyperlink"/>
            <w:color w:val="auto"/>
            <w:u w:val="none"/>
          </w:rPr>
          <w:t>culture</w:t>
        </w:r>
      </w:hyperlink>
      <w:r w:rsidRPr="00267691">
        <w:t> in Palestine provoked </w:t>
      </w:r>
      <w:hyperlink r:id="rId18" w:history="1">
        <w:r w:rsidRPr="00267691">
          <w:rPr>
            <w:rStyle w:val="Hyperlink"/>
            <w:color w:val="auto"/>
            <w:u w:val="none"/>
          </w:rPr>
          <w:t>zealous</w:t>
        </w:r>
      </w:hyperlink>
      <w:r w:rsidRPr="00267691">
        <w:t> resistance on the part of many Jews, leading to the revolt of </w:t>
      </w:r>
      <w:hyperlink r:id="rId19" w:history="1">
        <w:r w:rsidRPr="00267691">
          <w:rPr>
            <w:rStyle w:val="Hyperlink"/>
            <w:color w:val="auto"/>
            <w:u w:val="none"/>
          </w:rPr>
          <w:t>Judas Maccabeus</w:t>
        </w:r>
      </w:hyperlink>
      <w:r w:rsidRPr="00267691">
        <w:t xml:space="preserve"> against Antiochus. In Palestinian Judaism, the predominant note was separation and exclusiveness. Jewish missionaries to other areas were strictly expected to impose the distinctive Jewish customs of </w:t>
      </w:r>
      <w:hyperlink r:id="rId20" w:history="1">
        <w:r w:rsidRPr="00267691">
          <w:rPr>
            <w:rStyle w:val="Hyperlink"/>
            <w:color w:val="auto"/>
            <w:u w:val="none"/>
          </w:rPr>
          <w:t>circumcision</w:t>
        </w:r>
      </w:hyperlink>
      <w:r w:rsidRPr="00267691">
        <w:t>, </w:t>
      </w:r>
      <w:hyperlink r:id="rId21" w:history="1">
        <w:r w:rsidRPr="00267691">
          <w:rPr>
            <w:rStyle w:val="Hyperlink"/>
            <w:color w:val="auto"/>
            <w:u w:val="none"/>
          </w:rPr>
          <w:t>kosher food</w:t>
        </w:r>
      </w:hyperlink>
      <w:r w:rsidRPr="00267691">
        <w:t>, and </w:t>
      </w:r>
      <w:hyperlink r:id="rId22" w:history="1">
        <w:r w:rsidRPr="00267691">
          <w:rPr>
            <w:rStyle w:val="Hyperlink"/>
            <w:color w:val="auto"/>
            <w:u w:val="none"/>
          </w:rPr>
          <w:t>Sabbaths</w:t>
        </w:r>
      </w:hyperlink>
      <w:r w:rsidRPr="00267691">
        <w:t> and other festivals. Other Jews, however, were not so </w:t>
      </w:r>
      <w:hyperlink r:id="rId23" w:history="1">
        <w:r w:rsidRPr="00267691">
          <w:rPr>
            <w:rStyle w:val="Hyperlink"/>
            <w:color w:val="auto"/>
            <w:u w:val="none"/>
          </w:rPr>
          <w:t>exclusive</w:t>
        </w:r>
      </w:hyperlink>
      <w:r w:rsidRPr="00267691">
        <w:t>, welcoming Greek culture and accepting converts without requiring circumcision.</w:t>
      </w:r>
    </w:p>
    <w:p w:rsidR="00267691" w:rsidRPr="00267691" w:rsidRDefault="00CC6E0B" w:rsidP="00267691">
      <w:pPr>
        <w:pStyle w:val="NormalWeb"/>
        <w:shd w:val="clear" w:color="auto" w:fill="FFFFFF"/>
        <w:spacing w:before="0" w:beforeAutospacing="0" w:after="0" w:afterAutospacing="0" w:line="480" w:lineRule="auto"/>
        <w:textAlignment w:val="baseline"/>
      </w:pPr>
      <w:r w:rsidRPr="00267691">
        <w:t>The relationship of the earliest Christian churches to Judaism turned principally on two questions: (1) the </w:t>
      </w:r>
      <w:hyperlink r:id="rId24" w:history="1">
        <w:r w:rsidRPr="00267691">
          <w:rPr>
            <w:rStyle w:val="Hyperlink"/>
            <w:color w:val="auto"/>
            <w:u w:val="none"/>
          </w:rPr>
          <w:t>messianic</w:t>
        </w:r>
      </w:hyperlink>
      <w:r w:rsidRPr="00267691">
        <w:t> role of </w:t>
      </w:r>
      <w:hyperlink r:id="rId25" w:history="1">
        <w:r w:rsidRPr="00267691">
          <w:rPr>
            <w:rStyle w:val="Hyperlink"/>
            <w:color w:val="auto"/>
            <w:u w:val="none"/>
          </w:rPr>
          <w:t>Jesus of Nazareth</w:t>
        </w:r>
      </w:hyperlink>
      <w:r w:rsidRPr="00267691">
        <w:t> and (2) the permanent validity of the </w:t>
      </w:r>
      <w:hyperlink r:id="rId26" w:history="1">
        <w:r w:rsidRPr="00267691">
          <w:rPr>
            <w:rStyle w:val="Hyperlink"/>
            <w:color w:val="auto"/>
            <w:u w:val="none"/>
          </w:rPr>
          <w:t>Mosaic Law</w:t>
        </w:r>
      </w:hyperlink>
      <w:r w:rsidRPr="00267691">
        <w:t> for all.</w:t>
      </w:r>
    </w:p>
    <w:p w:rsidR="00544BAF" w:rsidRPr="00267691" w:rsidRDefault="00CC6E0B" w:rsidP="00267691">
      <w:pPr>
        <w:spacing w:line="480" w:lineRule="auto"/>
        <w:rPr>
          <w:rFonts w:ascii="Times New Roman" w:hAnsi="Times New Roman" w:cs="Times New Roman"/>
          <w:sz w:val="24"/>
          <w:szCs w:val="24"/>
          <w:shd w:val="clear" w:color="auto" w:fill="FFFFFF"/>
        </w:rPr>
      </w:pPr>
      <w:r w:rsidRPr="00267691">
        <w:rPr>
          <w:rFonts w:ascii="Times New Roman" w:hAnsi="Times New Roman" w:cs="Times New Roman"/>
          <w:sz w:val="24"/>
          <w:szCs w:val="24"/>
          <w:shd w:val="clear" w:color="auto" w:fill="FFFFFF"/>
        </w:rPr>
        <w:t>The </w:t>
      </w:r>
      <w:hyperlink r:id="rId27" w:history="1">
        <w:r w:rsidRPr="00267691">
          <w:rPr>
            <w:rStyle w:val="Hyperlink"/>
            <w:rFonts w:ascii="Times New Roman" w:hAnsi="Times New Roman" w:cs="Times New Roman"/>
            <w:color w:val="auto"/>
            <w:sz w:val="24"/>
            <w:szCs w:val="24"/>
            <w:u w:val="none"/>
            <w:shd w:val="clear" w:color="auto" w:fill="FFFFFF"/>
          </w:rPr>
          <w:t>Hebrew Scriptures</w:t>
        </w:r>
      </w:hyperlink>
      <w:r w:rsidRPr="00267691">
        <w:rPr>
          <w:rFonts w:ascii="Times New Roman" w:hAnsi="Times New Roman" w:cs="Times New Roman"/>
          <w:sz w:val="24"/>
          <w:szCs w:val="24"/>
          <w:shd w:val="clear" w:color="auto" w:fill="FFFFFF"/>
        </w:rPr>
        <w:t xml:space="preserve"> presented history as the stage of a providential drama eventually ending in a triumph of God over all present sources of frustration (e.g., foreign domination or the sins of Israel). An anointed prince would establish God's rule, or Messiah (from </w:t>
      </w:r>
      <w:r w:rsidRPr="00267691">
        <w:rPr>
          <w:rStyle w:val="Emphasis"/>
          <w:rFonts w:ascii="Times New Roman" w:hAnsi="Times New Roman" w:cs="Times New Roman"/>
          <w:sz w:val="24"/>
          <w:szCs w:val="24"/>
          <w:bdr w:val="none" w:sz="0" w:space="0" w:color="auto" w:frame="1"/>
          <w:shd w:val="clear" w:color="auto" w:fill="FFFFFF"/>
        </w:rPr>
        <w:t>mashiaḥ</w:t>
      </w:r>
      <w:r w:rsidRPr="00267691">
        <w:rPr>
          <w:rFonts w:ascii="Times New Roman" w:hAnsi="Times New Roman" w:cs="Times New Roman"/>
          <w:sz w:val="24"/>
          <w:szCs w:val="24"/>
          <w:shd w:val="clear" w:color="auto" w:fill="FFFFFF"/>
        </w:rPr>
        <w:t>, “anointed”), of the line of </w:t>
      </w:r>
      <w:hyperlink r:id="rId28" w:history="1">
        <w:r w:rsidRPr="00267691">
          <w:rPr>
            <w:rStyle w:val="Hyperlink"/>
            <w:rFonts w:ascii="Times New Roman" w:hAnsi="Times New Roman" w:cs="Times New Roman"/>
            <w:color w:val="auto"/>
            <w:sz w:val="24"/>
            <w:szCs w:val="24"/>
            <w:u w:val="none"/>
            <w:shd w:val="clear" w:color="auto" w:fill="FFFFFF"/>
          </w:rPr>
          <w:t>David</w:t>
        </w:r>
      </w:hyperlink>
      <w:r w:rsidRPr="00267691">
        <w:rPr>
          <w:rFonts w:ascii="Times New Roman" w:hAnsi="Times New Roman" w:cs="Times New Roman"/>
          <w:sz w:val="24"/>
          <w:szCs w:val="24"/>
          <w:shd w:val="clear" w:color="auto" w:fill="FFFFFF"/>
        </w:rPr>
        <w:t>, king of Israel in the 10th century </w:t>
      </w:r>
      <w:r w:rsidRPr="00267691">
        <w:rPr>
          <w:rStyle w:val="text-smallcaps"/>
          <w:rFonts w:ascii="Times New Roman" w:hAnsi="Times New Roman" w:cs="Times New Roman"/>
          <w:caps/>
          <w:sz w:val="24"/>
          <w:szCs w:val="24"/>
          <w:bdr w:val="none" w:sz="0" w:space="0" w:color="auto" w:frame="1"/>
          <w:shd w:val="clear" w:color="auto" w:fill="FFFFFF"/>
        </w:rPr>
        <w:t>BCE</w:t>
      </w:r>
      <w:r w:rsidRPr="00267691">
        <w:rPr>
          <w:rFonts w:ascii="Times New Roman" w:hAnsi="Times New Roman" w:cs="Times New Roman"/>
          <w:sz w:val="24"/>
          <w:szCs w:val="24"/>
          <w:shd w:val="clear" w:color="auto" w:fill="FFFFFF"/>
        </w:rPr>
        <w:t>. The proper course of action leading to the consummation of the drama, however, was the subject of some disagreement. Among the </w:t>
      </w:r>
      <w:hyperlink r:id="rId29" w:history="1">
        <w:r w:rsidRPr="00267691">
          <w:rPr>
            <w:rStyle w:val="Hyperlink"/>
            <w:rFonts w:ascii="Times New Roman" w:hAnsi="Times New Roman" w:cs="Times New Roman"/>
            <w:color w:val="auto"/>
            <w:sz w:val="24"/>
            <w:szCs w:val="24"/>
            <w:u w:val="none"/>
            <w:shd w:val="clear" w:color="auto" w:fill="FFFFFF"/>
          </w:rPr>
          <w:t>diverse</w:t>
        </w:r>
      </w:hyperlink>
      <w:r w:rsidRPr="00267691">
        <w:rPr>
          <w:rFonts w:ascii="Times New Roman" w:hAnsi="Times New Roman" w:cs="Times New Roman"/>
          <w:sz w:val="24"/>
          <w:szCs w:val="24"/>
          <w:shd w:val="clear" w:color="auto" w:fill="FFFFFF"/>
        </w:rPr>
        <w:t> groups were the aristocratic and </w:t>
      </w:r>
      <w:hyperlink r:id="rId30" w:history="1">
        <w:r w:rsidRPr="00267691">
          <w:rPr>
            <w:rStyle w:val="Hyperlink"/>
            <w:rFonts w:ascii="Times New Roman" w:hAnsi="Times New Roman" w:cs="Times New Roman"/>
            <w:color w:val="auto"/>
            <w:sz w:val="24"/>
            <w:szCs w:val="24"/>
            <w:u w:val="none"/>
            <w:shd w:val="clear" w:color="auto" w:fill="FFFFFF"/>
          </w:rPr>
          <w:t>conservative</w:t>
        </w:r>
      </w:hyperlink>
      <w:r w:rsidRPr="00267691">
        <w:rPr>
          <w:rFonts w:ascii="Times New Roman" w:hAnsi="Times New Roman" w:cs="Times New Roman"/>
          <w:sz w:val="24"/>
          <w:szCs w:val="24"/>
          <w:shd w:val="clear" w:color="auto" w:fill="FFFFFF"/>
        </w:rPr>
        <w:t> </w:t>
      </w:r>
      <w:hyperlink r:id="rId31" w:history="1">
        <w:r w:rsidRPr="00267691">
          <w:rPr>
            <w:rStyle w:val="Hyperlink"/>
            <w:rFonts w:ascii="Times New Roman" w:hAnsi="Times New Roman" w:cs="Times New Roman"/>
            <w:color w:val="auto"/>
            <w:sz w:val="24"/>
            <w:szCs w:val="24"/>
            <w:u w:val="none"/>
            <w:shd w:val="clear" w:color="auto" w:fill="FFFFFF"/>
          </w:rPr>
          <w:t>Sadducees</w:t>
        </w:r>
      </w:hyperlink>
      <w:r w:rsidRPr="00267691">
        <w:rPr>
          <w:rFonts w:ascii="Times New Roman" w:hAnsi="Times New Roman" w:cs="Times New Roman"/>
          <w:sz w:val="24"/>
          <w:szCs w:val="24"/>
          <w:shd w:val="clear" w:color="auto" w:fill="FFFFFF"/>
        </w:rPr>
        <w:t xml:space="preserve">, </w:t>
      </w:r>
      <w:r w:rsidRPr="00267691">
        <w:rPr>
          <w:rFonts w:ascii="Times New Roman" w:hAnsi="Times New Roman" w:cs="Times New Roman"/>
          <w:sz w:val="24"/>
          <w:szCs w:val="24"/>
          <w:shd w:val="clear" w:color="auto" w:fill="FFFFFF"/>
        </w:rPr>
        <w:lastRenderedPageBreak/>
        <w:t xml:space="preserve">who accepted only the five books of Moses (the Pentateuch) and whose lives and political power was intimately associated with Temple </w:t>
      </w:r>
      <w:hyperlink r:id="rId32" w:history="1">
        <w:r w:rsidRPr="00267691">
          <w:rPr>
            <w:rStyle w:val="Hyperlink"/>
            <w:rFonts w:ascii="Times New Roman" w:hAnsi="Times New Roman" w:cs="Times New Roman"/>
            <w:color w:val="auto"/>
            <w:sz w:val="24"/>
            <w:szCs w:val="24"/>
            <w:u w:val="none"/>
            <w:shd w:val="clear" w:color="auto" w:fill="FFFFFF"/>
          </w:rPr>
          <w:t>worship</w:t>
        </w:r>
      </w:hyperlink>
      <w:r w:rsidRPr="00267691">
        <w:rPr>
          <w:rFonts w:ascii="Times New Roman" w:hAnsi="Times New Roman" w:cs="Times New Roman"/>
          <w:sz w:val="24"/>
          <w:szCs w:val="24"/>
          <w:shd w:val="clear" w:color="auto" w:fill="FFFFFF"/>
        </w:rPr>
        <w:t>, and the </w:t>
      </w:r>
      <w:hyperlink r:id="rId33" w:history="1">
        <w:r w:rsidRPr="00267691">
          <w:rPr>
            <w:rStyle w:val="Hyperlink"/>
            <w:rFonts w:ascii="Times New Roman" w:hAnsi="Times New Roman" w:cs="Times New Roman"/>
            <w:color w:val="auto"/>
            <w:sz w:val="24"/>
            <w:szCs w:val="24"/>
            <w:u w:val="none"/>
            <w:shd w:val="clear" w:color="auto" w:fill="FFFFFF"/>
          </w:rPr>
          <w:t>Pharisees</w:t>
        </w:r>
      </w:hyperlink>
      <w:r w:rsidRPr="00267691">
        <w:rPr>
          <w:rFonts w:ascii="Times New Roman" w:hAnsi="Times New Roman" w:cs="Times New Roman"/>
          <w:sz w:val="24"/>
          <w:szCs w:val="24"/>
          <w:shd w:val="clear" w:color="auto" w:fill="FFFFFF"/>
        </w:rPr>
        <w:t xml:space="preserve">, who took the force of oral tradition and were widely respected for their learning and piety. The Pharisees not only accepted biblical books outside the Pentateuch but also embraced doctrines—such as those on </w:t>
      </w:r>
      <w:hyperlink r:id="rId34" w:history="1">
        <w:r w:rsidRPr="00267691">
          <w:rPr>
            <w:rStyle w:val="Hyperlink"/>
            <w:rFonts w:ascii="Times New Roman" w:hAnsi="Times New Roman" w:cs="Times New Roman"/>
            <w:color w:val="auto"/>
            <w:sz w:val="24"/>
            <w:szCs w:val="24"/>
            <w:u w:val="none"/>
            <w:shd w:val="clear" w:color="auto" w:fill="FFFFFF"/>
          </w:rPr>
          <w:t>resurrection</w:t>
        </w:r>
      </w:hyperlink>
      <w:r w:rsidRPr="00267691">
        <w:rPr>
          <w:rFonts w:ascii="Times New Roman" w:hAnsi="Times New Roman" w:cs="Times New Roman"/>
          <w:sz w:val="24"/>
          <w:szCs w:val="24"/>
          <w:shd w:val="clear" w:color="auto" w:fill="FFFFFF"/>
        </w:rPr>
        <w:t xml:space="preserve"> and the existence of angels—of recent acceptance in Judaism. Many of which were derived from apocalyptic expectations that the consummation of history would be heralded by God's intervention in the affairs of men in dramatic, cataclysmic terms. The </w:t>
      </w:r>
      <w:hyperlink r:id="rId35" w:history="1">
        <w:r w:rsidRPr="00267691">
          <w:rPr>
            <w:rStyle w:val="Hyperlink"/>
            <w:rFonts w:ascii="Times New Roman" w:hAnsi="Times New Roman" w:cs="Times New Roman"/>
            <w:color w:val="auto"/>
            <w:sz w:val="24"/>
            <w:szCs w:val="24"/>
            <w:u w:val="none"/>
            <w:shd w:val="clear" w:color="auto" w:fill="FFFFFF"/>
          </w:rPr>
          <w:t>Great Sanhedrin</w:t>
        </w:r>
      </w:hyperlink>
      <w:r w:rsidRPr="00267691">
        <w:rPr>
          <w:rFonts w:ascii="Times New Roman" w:hAnsi="Times New Roman" w:cs="Times New Roman"/>
          <w:sz w:val="24"/>
          <w:szCs w:val="24"/>
          <w:shd w:val="clear" w:color="auto" w:fill="FFFFFF"/>
        </w:rPr>
        <w:t> (central council) at </w:t>
      </w:r>
      <w:hyperlink r:id="rId36" w:history="1">
        <w:r w:rsidRPr="00267691">
          <w:rPr>
            <w:rStyle w:val="Hyperlink"/>
            <w:rFonts w:ascii="Times New Roman" w:hAnsi="Times New Roman" w:cs="Times New Roman"/>
            <w:color w:val="auto"/>
            <w:sz w:val="24"/>
            <w:szCs w:val="24"/>
            <w:u w:val="none"/>
            <w:shd w:val="clear" w:color="auto" w:fill="FFFFFF"/>
          </w:rPr>
          <w:t>Jerusalem</w:t>
        </w:r>
      </w:hyperlink>
      <w:r w:rsidRPr="00267691">
        <w:rPr>
          <w:rFonts w:ascii="Times New Roman" w:hAnsi="Times New Roman" w:cs="Times New Roman"/>
          <w:sz w:val="24"/>
          <w:szCs w:val="24"/>
          <w:shd w:val="clear" w:color="auto" w:fill="FFFFFF"/>
        </w:rPr>
        <w:t> was made up of both Pharisees and Sadducees. The </w:t>
      </w:r>
      <w:hyperlink r:id="rId37" w:history="1">
        <w:r w:rsidRPr="00267691">
          <w:rPr>
            <w:rStyle w:val="Hyperlink"/>
            <w:rFonts w:ascii="Times New Roman" w:hAnsi="Times New Roman" w:cs="Times New Roman"/>
            <w:color w:val="auto"/>
            <w:sz w:val="24"/>
            <w:szCs w:val="24"/>
            <w:u w:val="none"/>
            <w:shd w:val="clear" w:color="auto" w:fill="FFFFFF"/>
          </w:rPr>
          <w:t>Zealots</w:t>
        </w:r>
      </w:hyperlink>
      <w:r w:rsidRPr="00267691">
        <w:rPr>
          <w:rFonts w:ascii="Times New Roman" w:hAnsi="Times New Roman" w:cs="Times New Roman"/>
          <w:sz w:val="24"/>
          <w:szCs w:val="24"/>
          <w:shd w:val="clear" w:color="auto" w:fill="FFFFFF"/>
        </w:rPr>
        <w:t> were aggressive revolutionaries known for their violent opposition to </w:t>
      </w:r>
      <w:hyperlink r:id="rId38" w:history="1">
        <w:r w:rsidRPr="00267691">
          <w:rPr>
            <w:rStyle w:val="Hyperlink"/>
            <w:rFonts w:ascii="Times New Roman" w:hAnsi="Times New Roman" w:cs="Times New Roman"/>
            <w:color w:val="auto"/>
            <w:sz w:val="24"/>
            <w:szCs w:val="24"/>
            <w:u w:val="none"/>
            <w:shd w:val="clear" w:color="auto" w:fill="FFFFFF"/>
          </w:rPr>
          <w:t>Rome</w:t>
        </w:r>
      </w:hyperlink>
      <w:r w:rsidRPr="00267691">
        <w:rPr>
          <w:rFonts w:ascii="Times New Roman" w:hAnsi="Times New Roman" w:cs="Times New Roman"/>
          <w:sz w:val="24"/>
          <w:szCs w:val="24"/>
          <w:shd w:val="clear" w:color="auto" w:fill="FFFFFF"/>
        </w:rPr>
        <w:t> and its polytheisms. Other groups were the </w:t>
      </w:r>
      <w:hyperlink r:id="rId39" w:history="1">
        <w:r w:rsidRPr="00267691">
          <w:rPr>
            <w:rStyle w:val="Hyperlink"/>
            <w:rFonts w:ascii="Times New Roman" w:hAnsi="Times New Roman" w:cs="Times New Roman"/>
            <w:color w:val="auto"/>
            <w:sz w:val="24"/>
            <w:szCs w:val="24"/>
            <w:u w:val="none"/>
            <w:shd w:val="clear" w:color="auto" w:fill="FFFFFF"/>
          </w:rPr>
          <w:t>Herodians</w:t>
        </w:r>
      </w:hyperlink>
      <w:r w:rsidRPr="00267691">
        <w:rPr>
          <w:rFonts w:ascii="Times New Roman" w:hAnsi="Times New Roman" w:cs="Times New Roman"/>
          <w:sz w:val="24"/>
          <w:szCs w:val="24"/>
          <w:shd w:val="clear" w:color="auto" w:fill="FFFFFF"/>
        </w:rPr>
        <w:t>, supporters of the client kingdom of the Herods (a </w:t>
      </w:r>
      <w:hyperlink r:id="rId40" w:history="1">
        <w:r w:rsidRPr="00267691">
          <w:rPr>
            <w:rStyle w:val="Hyperlink"/>
            <w:rFonts w:ascii="Times New Roman" w:hAnsi="Times New Roman" w:cs="Times New Roman"/>
            <w:color w:val="auto"/>
            <w:sz w:val="24"/>
            <w:szCs w:val="24"/>
            <w:u w:val="none"/>
            <w:shd w:val="clear" w:color="auto" w:fill="FFFFFF"/>
          </w:rPr>
          <w:t>dynasty</w:t>
        </w:r>
      </w:hyperlink>
      <w:r w:rsidRPr="00267691">
        <w:rPr>
          <w:rFonts w:ascii="Times New Roman" w:hAnsi="Times New Roman" w:cs="Times New Roman"/>
          <w:sz w:val="24"/>
          <w:szCs w:val="24"/>
          <w:shd w:val="clear" w:color="auto" w:fill="FFFFFF"/>
        </w:rPr>
        <w:t> that supported Rome) and </w:t>
      </w:r>
      <w:hyperlink r:id="rId41" w:history="1"/>
      <w:r w:rsidRPr="00267691">
        <w:rPr>
          <w:rFonts w:ascii="Times New Roman" w:hAnsi="Times New Roman" w:cs="Times New Roman"/>
          <w:sz w:val="24"/>
          <w:szCs w:val="24"/>
          <w:shd w:val="clear" w:color="auto" w:fill="FFFFFF"/>
        </w:rPr>
        <w:t xml:space="preserve">shocking to the </w:t>
      </w:r>
      <w:hyperlink r:id="rId42" w:history="1">
        <w:r w:rsidRPr="00267691">
          <w:rPr>
            <w:rStyle w:val="Hyperlink"/>
            <w:rFonts w:ascii="Times New Roman" w:hAnsi="Times New Roman" w:cs="Times New Roman"/>
            <w:color w:val="auto"/>
            <w:sz w:val="24"/>
            <w:szCs w:val="24"/>
            <w:u w:val="none"/>
            <w:shd w:val="clear" w:color="auto" w:fill="FFFFFF"/>
          </w:rPr>
          <w:t>Zealots</w:t>
        </w:r>
      </w:hyperlink>
      <w:r w:rsidRPr="00267691">
        <w:rPr>
          <w:rFonts w:ascii="Times New Roman" w:hAnsi="Times New Roman" w:cs="Times New Roman"/>
          <w:sz w:val="24"/>
          <w:szCs w:val="24"/>
          <w:shd w:val="clear" w:color="auto" w:fill="FFFFFF"/>
        </w:rPr>
        <w:t>, and the </w:t>
      </w:r>
      <w:hyperlink r:id="rId43" w:history="1">
        <w:r w:rsidRPr="00267691">
          <w:rPr>
            <w:rStyle w:val="Hyperlink"/>
            <w:rFonts w:ascii="Times New Roman" w:hAnsi="Times New Roman" w:cs="Times New Roman"/>
            <w:color w:val="auto"/>
            <w:sz w:val="24"/>
            <w:szCs w:val="24"/>
            <w:u w:val="none"/>
            <w:shd w:val="clear" w:color="auto" w:fill="FFFFFF"/>
          </w:rPr>
          <w:t>Essenes</w:t>
        </w:r>
      </w:hyperlink>
      <w:r w:rsidRPr="00267691">
        <w:rPr>
          <w:rFonts w:ascii="Times New Roman" w:hAnsi="Times New Roman" w:cs="Times New Roman"/>
          <w:sz w:val="24"/>
          <w:szCs w:val="24"/>
          <w:shd w:val="clear" w:color="auto" w:fill="FFFFFF"/>
        </w:rPr>
        <w:t>, a quasi-monastic dissident group, probably including the sect that preserved the </w:t>
      </w:r>
      <w:hyperlink r:id="rId44" w:history="1">
        <w:r w:rsidRPr="00267691">
          <w:rPr>
            <w:rStyle w:val="Hyperlink"/>
            <w:rFonts w:ascii="Times New Roman" w:hAnsi="Times New Roman" w:cs="Times New Roman"/>
            <w:color w:val="auto"/>
            <w:sz w:val="24"/>
            <w:szCs w:val="24"/>
            <w:u w:val="none"/>
            <w:shd w:val="clear" w:color="auto" w:fill="FFFFFF"/>
          </w:rPr>
          <w:t>Dead Sea Scrolls</w:t>
        </w:r>
      </w:hyperlink>
      <w:r w:rsidRPr="00267691">
        <w:rPr>
          <w:rFonts w:ascii="Times New Roman" w:hAnsi="Times New Roman" w:cs="Times New Roman"/>
          <w:sz w:val="24"/>
          <w:szCs w:val="24"/>
          <w:shd w:val="clear" w:color="auto" w:fill="FFFFFF"/>
        </w:rPr>
        <w:t xml:space="preserve">. This latter sect did not participate in the Temple worship at Jerusalem and observed another religious calendar. From their desert retreat, they awaited </w:t>
      </w:r>
      <w:hyperlink r:id="rId45" w:history="1">
        <w:r w:rsidRPr="00267691">
          <w:rPr>
            <w:rStyle w:val="Hyperlink"/>
            <w:rFonts w:ascii="Times New Roman" w:hAnsi="Times New Roman" w:cs="Times New Roman"/>
            <w:color w:val="auto"/>
            <w:sz w:val="24"/>
            <w:szCs w:val="24"/>
            <w:u w:val="none"/>
            <w:shd w:val="clear" w:color="auto" w:fill="FFFFFF"/>
          </w:rPr>
          <w:t>divine</w:t>
        </w:r>
      </w:hyperlink>
      <w:r w:rsidRPr="00267691">
        <w:rPr>
          <w:rFonts w:ascii="Times New Roman" w:hAnsi="Times New Roman" w:cs="Times New Roman"/>
          <w:sz w:val="24"/>
          <w:szCs w:val="24"/>
          <w:shd w:val="clear" w:color="auto" w:fill="FFFFFF"/>
        </w:rPr>
        <w:t> intervention and searched prophetic writings for signs indicating the consummation.</w:t>
      </w:r>
    </w:p>
    <w:p w:rsidR="00267691" w:rsidRPr="00267691" w:rsidRDefault="00CC6E0B" w:rsidP="00267691">
      <w:pPr>
        <w:pStyle w:val="NormalWeb"/>
        <w:shd w:val="clear" w:color="auto" w:fill="FFFFFF"/>
        <w:spacing w:before="0" w:beforeAutospacing="0" w:after="0" w:afterAutospacing="0" w:line="480" w:lineRule="auto"/>
        <w:textAlignment w:val="baseline"/>
      </w:pPr>
      <w:r w:rsidRPr="00267691">
        <w:t>What relation the followers of Jesus had to some of these groups is not clear. In the </w:t>
      </w:r>
      <w:hyperlink r:id="rId46" w:history="1">
        <w:r w:rsidRPr="00267691">
          <w:rPr>
            <w:rStyle w:val="Hyperlink"/>
            <w:color w:val="auto"/>
            <w:u w:val="none"/>
          </w:rPr>
          <w:t>canonical</w:t>
        </w:r>
      </w:hyperlink>
      <w:r w:rsidRPr="00267691">
        <w:t> </w:t>
      </w:r>
      <w:hyperlink r:id="rId47" w:history="1">
        <w:r w:rsidRPr="00267691">
          <w:rPr>
            <w:rStyle w:val="Hyperlink"/>
            <w:color w:val="auto"/>
            <w:u w:val="none"/>
          </w:rPr>
          <w:t>Gospels</w:t>
        </w:r>
      </w:hyperlink>
      <w:r w:rsidRPr="00267691">
        <w:t xml:space="preserve"> (those accepted as authentic by the church), the main targets of </w:t>
      </w:r>
      <w:hyperlink r:id="rId48" w:history="1">
        <w:r w:rsidRPr="00267691">
          <w:rPr>
            <w:rStyle w:val="Hyperlink"/>
            <w:color w:val="auto"/>
            <w:u w:val="none"/>
          </w:rPr>
          <w:t>criticism</w:t>
        </w:r>
      </w:hyperlink>
      <w:r w:rsidRPr="00267691">
        <w:t> are the scribes and Pharisees, whose attachment to the tradition of Judaism is presented as legalistic and pettifogging. The Sadducees and Herodians likewise receive an unfriendly portrait. The Essenes are never mentioned. </w:t>
      </w:r>
      <w:hyperlink r:id="rId49" w:history="1">
        <w:r w:rsidRPr="00267691">
          <w:rPr>
            <w:rStyle w:val="Hyperlink"/>
            <w:color w:val="auto"/>
            <w:u w:val="none"/>
          </w:rPr>
          <w:t>Simon</w:t>
        </w:r>
      </w:hyperlink>
      <w:r w:rsidRPr="00267691">
        <w:t>, one of Jesus’ 12 </w:t>
      </w:r>
      <w:hyperlink r:id="rId50" w:history="1">
        <w:r w:rsidRPr="00267691">
          <w:rPr>
            <w:rStyle w:val="Hyperlink"/>
            <w:color w:val="auto"/>
            <w:u w:val="none"/>
          </w:rPr>
          <w:t>disciples</w:t>
        </w:r>
      </w:hyperlink>
      <w:r w:rsidRPr="00267691">
        <w:t>, was or had once been a </w:t>
      </w:r>
      <w:hyperlink r:id="rId51" w:history="1">
        <w:r w:rsidRPr="00267691">
          <w:rPr>
            <w:rStyle w:val="Hyperlink"/>
            <w:color w:val="auto"/>
            <w:u w:val="none"/>
          </w:rPr>
          <w:t>Zealot</w:t>
        </w:r>
      </w:hyperlink>
      <w:r w:rsidRPr="00267691">
        <w:t>. Jesus probably stood close to the Pharisees.</w:t>
      </w:r>
    </w:p>
    <w:p w:rsidR="00267691" w:rsidRPr="00267691" w:rsidRDefault="00CC6E0B" w:rsidP="00267691">
      <w:pPr>
        <w:pStyle w:val="NormalWeb"/>
        <w:shd w:val="clear" w:color="auto" w:fill="FFFFFF"/>
        <w:spacing w:before="0" w:beforeAutospacing="0" w:after="0" w:afterAutospacing="0" w:line="480" w:lineRule="auto"/>
        <w:textAlignment w:val="baseline"/>
      </w:pPr>
      <w:r w:rsidRPr="00267691">
        <w:t xml:space="preserve">Under the social and political conditions of the time, there could be no long future either for the Sadducees or for the Zealots: their attempts to make apocalyptic dreams effective led to the desolation of Judaea and the destruction of the Temple after the two major Jewish revolts against the Romans in 66–70 and 132–135. The choice for many Jews, who were barred from </w:t>
      </w:r>
      <w:r w:rsidRPr="00267691">
        <w:lastRenderedPageBreak/>
        <w:t xml:space="preserve">Jerusalem after 135, thus lay between the Pharisees and the emerging Christian movement. Pharisaism, as enshrined in the </w:t>
      </w:r>
      <w:hyperlink r:id="rId52" w:history="1">
        <w:r w:rsidRPr="00267691">
          <w:rPr>
            <w:rStyle w:val="Hyperlink"/>
            <w:color w:val="auto"/>
            <w:u w:val="none"/>
          </w:rPr>
          <w:t>Mishna</w:t>
        </w:r>
      </w:hyperlink>
      <w:r w:rsidRPr="00267691">
        <w:t> (oral law) and the </w:t>
      </w:r>
      <w:hyperlink r:id="rId53" w:history="1">
        <w:r w:rsidRPr="00267691">
          <w:rPr>
            <w:rStyle w:val="Hyperlink"/>
            <w:color w:val="auto"/>
            <w:u w:val="none"/>
          </w:rPr>
          <w:t>Talmud</w:t>
        </w:r>
      </w:hyperlink>
      <w:r w:rsidRPr="00267691">
        <w:t xml:space="preserve"> (commentary on and addition to the oral law), became normative Judaism. By looking to the Gentile (non-Jewish) world and carefully dissociating itself from the Zealot revolutionaries and the Pharisees, Christianity made possible it's ideal of a world religion, at the price of sacrificing Jewish particularity and exclusiveness. The fact that Christianity has never succeeded in gaining the </w:t>
      </w:r>
      <w:hyperlink r:id="rId54" w:history="1">
        <w:r w:rsidRPr="00267691">
          <w:rPr>
            <w:rStyle w:val="Hyperlink"/>
            <w:color w:val="auto"/>
            <w:u w:val="none"/>
          </w:rPr>
          <w:t>allegiance</w:t>
        </w:r>
      </w:hyperlink>
      <w:r w:rsidRPr="00267691">
        <w:t> of more than a small minority of Jews is more a mystery to theologians than to historians.</w:t>
      </w:r>
    </w:p>
    <w:p w:rsidR="00267691" w:rsidRDefault="00267691" w:rsidP="00267691">
      <w:pPr>
        <w:spacing w:line="480" w:lineRule="auto"/>
        <w:rPr>
          <w:rFonts w:ascii="Times New Roman" w:hAnsi="Times New Roman" w:cs="Times New Roman"/>
          <w:sz w:val="24"/>
          <w:szCs w:val="24"/>
        </w:rPr>
      </w:pPr>
    </w:p>
    <w:p w:rsidR="00267691" w:rsidRDefault="00CC6E0B">
      <w:pPr>
        <w:rPr>
          <w:rFonts w:ascii="Times New Roman" w:hAnsi="Times New Roman" w:cs="Times New Roman"/>
          <w:sz w:val="24"/>
          <w:szCs w:val="24"/>
        </w:rPr>
      </w:pPr>
      <w:r>
        <w:rPr>
          <w:rFonts w:ascii="Times New Roman" w:hAnsi="Times New Roman" w:cs="Times New Roman"/>
          <w:sz w:val="24"/>
          <w:szCs w:val="24"/>
        </w:rPr>
        <w:br w:type="page"/>
      </w:r>
    </w:p>
    <w:p w:rsidR="00267691" w:rsidRDefault="00CC6E0B" w:rsidP="00A9172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67691" w:rsidRDefault="00CC6E0B" w:rsidP="00A9172B">
      <w:pPr>
        <w:spacing w:line="480" w:lineRule="auto"/>
        <w:jc w:val="center"/>
        <w:rPr>
          <w:rFonts w:ascii="Arial" w:hAnsi="Arial" w:cs="Arial"/>
          <w:color w:val="222222"/>
          <w:sz w:val="20"/>
          <w:szCs w:val="20"/>
          <w:shd w:val="clear" w:color="auto" w:fill="FFFFFF"/>
        </w:rPr>
      </w:pPr>
      <w:r>
        <w:rPr>
          <w:rFonts w:ascii="Arial" w:hAnsi="Arial" w:cs="Arial"/>
          <w:color w:val="222222"/>
          <w:sz w:val="20"/>
          <w:szCs w:val="20"/>
          <w:shd w:val="clear" w:color="auto" w:fill="FFFFFF"/>
        </w:rPr>
        <w:t>Latourette, K. S., &amp; Winter, R. D. (1975). </w:t>
      </w:r>
      <w:r>
        <w:rPr>
          <w:rFonts w:ascii="Arial" w:hAnsi="Arial" w:cs="Arial"/>
          <w:i/>
          <w:iCs/>
          <w:color w:val="222222"/>
          <w:sz w:val="20"/>
          <w:szCs w:val="20"/>
          <w:shd w:val="clear" w:color="auto" w:fill="FFFFFF"/>
        </w:rPr>
        <w:t>A history of Christianity</w:t>
      </w:r>
      <w:r>
        <w:rPr>
          <w:rFonts w:ascii="Arial" w:hAnsi="Arial" w:cs="Arial"/>
          <w:color w:val="222222"/>
          <w:sz w:val="20"/>
          <w:szCs w:val="20"/>
          <w:shd w:val="clear" w:color="auto" w:fill="FFFFFF"/>
        </w:rPr>
        <w:t> (Vol. 2). New York: Harper &amp; Row.</w:t>
      </w:r>
    </w:p>
    <w:p w:rsidR="00A9172B" w:rsidRDefault="00CC6E0B" w:rsidP="00A9172B">
      <w:pPr>
        <w:spacing w:line="480" w:lineRule="auto"/>
        <w:jc w:val="center"/>
        <w:rPr>
          <w:rFonts w:ascii="Arial" w:hAnsi="Arial" w:cs="Arial"/>
          <w:color w:val="222222"/>
          <w:sz w:val="20"/>
          <w:szCs w:val="20"/>
          <w:shd w:val="clear" w:color="auto" w:fill="FFFFFF"/>
        </w:rPr>
      </w:pPr>
      <w:r>
        <w:rPr>
          <w:rFonts w:ascii="Arial" w:hAnsi="Arial" w:cs="Arial"/>
          <w:color w:val="222222"/>
          <w:sz w:val="20"/>
          <w:szCs w:val="20"/>
          <w:shd w:val="clear" w:color="auto" w:fill="FFFFFF"/>
        </w:rPr>
        <w:t>Ferguson, E. (2003). </w:t>
      </w:r>
      <w:r>
        <w:rPr>
          <w:rFonts w:ascii="Arial" w:hAnsi="Arial" w:cs="Arial"/>
          <w:i/>
          <w:iCs/>
          <w:color w:val="222222"/>
          <w:sz w:val="20"/>
          <w:szCs w:val="20"/>
          <w:shd w:val="clear" w:color="auto" w:fill="FFFFFF"/>
        </w:rPr>
        <w:t>Backgrounds of early Christianity</w:t>
      </w:r>
      <w:r>
        <w:rPr>
          <w:rFonts w:ascii="Arial" w:hAnsi="Arial" w:cs="Arial"/>
          <w:color w:val="222222"/>
          <w:sz w:val="20"/>
          <w:szCs w:val="20"/>
          <w:shd w:val="clear" w:color="auto" w:fill="FFFFFF"/>
        </w:rPr>
        <w:t>. Wm. B. Eerdmans Publishing.</w:t>
      </w:r>
    </w:p>
    <w:p w:rsidR="00A9172B" w:rsidRDefault="00CC6E0B" w:rsidP="00A9172B">
      <w:pPr>
        <w:spacing w:line="480" w:lineRule="auto"/>
        <w:jc w:val="center"/>
        <w:rPr>
          <w:rFonts w:ascii="Arial" w:hAnsi="Arial" w:cs="Arial"/>
          <w:color w:val="222222"/>
          <w:sz w:val="20"/>
          <w:szCs w:val="20"/>
          <w:shd w:val="clear" w:color="auto" w:fill="FFFFFF"/>
        </w:rPr>
      </w:pPr>
      <w:r>
        <w:rPr>
          <w:rFonts w:ascii="Arial" w:hAnsi="Arial" w:cs="Arial"/>
          <w:color w:val="222222"/>
          <w:sz w:val="20"/>
          <w:szCs w:val="20"/>
          <w:shd w:val="clear" w:color="auto" w:fill="FFFFFF"/>
        </w:rPr>
        <w:t>Clarke, P. B. (1986). West Africa and Christianity: A study of spiritual development from the 15th to the 20th century.</w:t>
      </w:r>
    </w:p>
    <w:p w:rsidR="00A9172B" w:rsidRPr="00267691" w:rsidRDefault="00CC6E0B" w:rsidP="00A9172B">
      <w:pPr>
        <w:spacing w:line="480" w:lineRule="auto"/>
        <w:jc w:val="center"/>
        <w:rPr>
          <w:rFonts w:ascii="Times New Roman" w:hAnsi="Times New Roman" w:cs="Times New Roman"/>
          <w:sz w:val="24"/>
          <w:szCs w:val="24"/>
        </w:rPr>
      </w:pPr>
      <w:r>
        <w:rPr>
          <w:rFonts w:ascii="Arial" w:hAnsi="Arial" w:cs="Arial"/>
          <w:color w:val="222222"/>
          <w:sz w:val="20"/>
          <w:szCs w:val="20"/>
          <w:shd w:val="clear" w:color="auto" w:fill="FFFFFF"/>
        </w:rPr>
        <w:t>Pfleiderer, O. (1894). </w:t>
      </w:r>
      <w:r>
        <w:rPr>
          <w:rFonts w:ascii="Arial" w:hAnsi="Arial" w:cs="Arial"/>
          <w:i/>
          <w:iCs/>
          <w:color w:val="222222"/>
          <w:sz w:val="20"/>
          <w:szCs w:val="20"/>
          <w:shd w:val="clear" w:color="auto" w:fill="FFFFFF"/>
        </w:rPr>
        <w:t>Philosophy and Development of Religion: Origin and development of Christianity</w:t>
      </w:r>
      <w:r>
        <w:rPr>
          <w:rFonts w:ascii="Arial" w:hAnsi="Arial" w:cs="Arial"/>
          <w:color w:val="222222"/>
          <w:sz w:val="20"/>
          <w:szCs w:val="20"/>
          <w:shd w:val="clear" w:color="auto" w:fill="FFFFFF"/>
        </w:rPr>
        <w:t> (Vol. 2). W. Blackwood.</w:t>
      </w:r>
    </w:p>
    <w:sectPr w:rsidR="00A9172B" w:rsidRPr="00267691" w:rsidSect="000E0FA1">
      <w:headerReference w:type="default" r:id="rId55"/>
      <w:headerReference w:type="first" r:id="rId5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2110" w:rsidRDefault="00182110">
      <w:pPr>
        <w:spacing w:after="0" w:line="240" w:lineRule="auto"/>
      </w:pPr>
      <w:r>
        <w:separator/>
      </w:r>
    </w:p>
  </w:endnote>
  <w:endnote w:type="continuationSeparator" w:id="0">
    <w:p w:rsidR="00182110" w:rsidRDefault="00182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2110" w:rsidRDefault="00182110">
      <w:pPr>
        <w:spacing w:after="0" w:line="240" w:lineRule="auto"/>
      </w:pPr>
      <w:r>
        <w:separator/>
      </w:r>
    </w:p>
  </w:footnote>
  <w:footnote w:type="continuationSeparator" w:id="0">
    <w:p w:rsidR="00182110" w:rsidRDefault="001821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72B" w:rsidRDefault="00CC6E0B">
    <w:pPr>
      <w:pStyle w:val="Header"/>
    </w:pPr>
    <w:r>
      <w:t>DEVELOPMENT OF CHRISTIANITY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0FA1" w:rsidRDefault="000E0FA1">
    <w:pPr>
      <w:pStyle w:val="Header"/>
    </w:pPr>
    <w:r>
      <w:t>Running Head: CHRISTIANITY AND DEVELOPMENT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ACA"/>
    <w:rsid w:val="000E0FA1"/>
    <w:rsid w:val="00182110"/>
    <w:rsid w:val="00267691"/>
    <w:rsid w:val="00544BAF"/>
    <w:rsid w:val="00641ACA"/>
    <w:rsid w:val="00674B38"/>
    <w:rsid w:val="00852F01"/>
    <w:rsid w:val="00871602"/>
    <w:rsid w:val="00A5020D"/>
    <w:rsid w:val="00A9172B"/>
    <w:rsid w:val="00AA5791"/>
    <w:rsid w:val="00C216AC"/>
    <w:rsid w:val="00CC6E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3DDD28-6F4C-4827-B0A2-F52AF5F2A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6769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267691"/>
    <w:rPr>
      <w:color w:val="0000FF"/>
      <w:u w:val="single"/>
    </w:rPr>
  </w:style>
  <w:style w:type="character" w:customStyle="1" w:styleId="text-smallcaps">
    <w:name w:val="text-smallcaps"/>
    <w:basedOn w:val="DefaultParagraphFont"/>
    <w:rsid w:val="00267691"/>
  </w:style>
  <w:style w:type="character" w:styleId="Emphasis">
    <w:name w:val="Emphasis"/>
    <w:basedOn w:val="DefaultParagraphFont"/>
    <w:uiPriority w:val="20"/>
    <w:qFormat/>
    <w:rsid w:val="00267691"/>
    <w:rPr>
      <w:i/>
      <w:iCs/>
    </w:rPr>
  </w:style>
  <w:style w:type="paragraph" w:styleId="Header">
    <w:name w:val="header"/>
    <w:basedOn w:val="Normal"/>
    <w:link w:val="HeaderChar"/>
    <w:uiPriority w:val="99"/>
    <w:unhideWhenUsed/>
    <w:rsid w:val="00A917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172B"/>
  </w:style>
  <w:style w:type="paragraph" w:styleId="Footer">
    <w:name w:val="footer"/>
    <w:basedOn w:val="Normal"/>
    <w:link w:val="FooterChar"/>
    <w:uiPriority w:val="99"/>
    <w:unhideWhenUsed/>
    <w:rsid w:val="00A917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17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ritannica.com/topic/particularism-religion" TargetMode="External"/><Relationship Id="rId18" Type="http://schemas.openxmlformats.org/officeDocument/2006/relationships/hyperlink" Target="https://www.merriam-webster.com/dictionary/zealous" TargetMode="External"/><Relationship Id="rId26" Type="http://schemas.openxmlformats.org/officeDocument/2006/relationships/hyperlink" Target="https://www.britannica.com/topic/Torah" TargetMode="External"/><Relationship Id="rId39" Type="http://schemas.openxmlformats.org/officeDocument/2006/relationships/hyperlink" Target="https://www.britannica.com/topic/Herodian-Jewish-history" TargetMode="External"/><Relationship Id="rId21" Type="http://schemas.openxmlformats.org/officeDocument/2006/relationships/hyperlink" Target="https://www.britannica.com/topic/kosher" TargetMode="External"/><Relationship Id="rId34" Type="http://schemas.openxmlformats.org/officeDocument/2006/relationships/hyperlink" Target="https://www.britannica.com/topic/resurrection-religion" TargetMode="External"/><Relationship Id="rId42" Type="http://schemas.openxmlformats.org/officeDocument/2006/relationships/hyperlink" Target="https://www.merriam-webster.com/dictionary/Zealots" TargetMode="External"/><Relationship Id="rId47" Type="http://schemas.openxmlformats.org/officeDocument/2006/relationships/hyperlink" Target="https://www.britannica.com/topic/Gospel-New-Testament" TargetMode="External"/><Relationship Id="rId50" Type="http://schemas.openxmlformats.org/officeDocument/2006/relationships/hyperlink" Target="https://www.merriam-webster.com/dictionary/disciples" TargetMode="External"/><Relationship Id="rId55" Type="http://schemas.openxmlformats.org/officeDocument/2006/relationships/header" Target="header1.xml"/><Relationship Id="rId7" Type="http://schemas.openxmlformats.org/officeDocument/2006/relationships/hyperlink" Target="https://www.britannica.com/topic/religion" TargetMode="External"/><Relationship Id="rId12" Type="http://schemas.openxmlformats.org/officeDocument/2006/relationships/hyperlink" Target="https://www.britannica.com/topic/salvation-religion" TargetMode="External"/><Relationship Id="rId17" Type="http://schemas.openxmlformats.org/officeDocument/2006/relationships/hyperlink" Target="https://www.merriam-webster.com/dictionary/culture" TargetMode="External"/><Relationship Id="rId25" Type="http://schemas.openxmlformats.org/officeDocument/2006/relationships/hyperlink" Target="https://www.britannica.com/biography/Jesus" TargetMode="External"/><Relationship Id="rId33" Type="http://schemas.openxmlformats.org/officeDocument/2006/relationships/hyperlink" Target="https://www.britannica.com/topic/Pharisee" TargetMode="External"/><Relationship Id="rId38" Type="http://schemas.openxmlformats.org/officeDocument/2006/relationships/hyperlink" Target="https://www.britannica.com/place/Rome" TargetMode="External"/><Relationship Id="rId46" Type="http://schemas.openxmlformats.org/officeDocument/2006/relationships/hyperlink" Target="https://www.merriam-webster.com/dictionary/canonical" TargetMode="External"/><Relationship Id="rId2" Type="http://schemas.openxmlformats.org/officeDocument/2006/relationships/settings" Target="settings.xml"/><Relationship Id="rId16" Type="http://schemas.openxmlformats.org/officeDocument/2006/relationships/hyperlink" Target="https://www.britannica.com/biography/Antiochus-IV-Epiphanes" TargetMode="External"/><Relationship Id="rId20" Type="http://schemas.openxmlformats.org/officeDocument/2006/relationships/hyperlink" Target="https://www.britannica.com/topic/circumcision-ritual-surgical-procedure" TargetMode="External"/><Relationship Id="rId29" Type="http://schemas.openxmlformats.org/officeDocument/2006/relationships/hyperlink" Target="https://www.merriam-webster.com/dictionary/diverse" TargetMode="External"/><Relationship Id="rId41" Type="http://schemas.openxmlformats.org/officeDocument/2006/relationships/hyperlink" Target="https://www.merriam-webster.com/dictionary/abhorrent" TargetMode="External"/><Relationship Id="rId54" Type="http://schemas.openxmlformats.org/officeDocument/2006/relationships/hyperlink" Target="https://www.merriam-webster.com/dictionary/allegiance" TargetMode="External"/><Relationship Id="rId1" Type="http://schemas.openxmlformats.org/officeDocument/2006/relationships/styles" Target="styles.xml"/><Relationship Id="rId6" Type="http://schemas.openxmlformats.org/officeDocument/2006/relationships/hyperlink" Target="https://www.britannica.com/topic/Judaism" TargetMode="External"/><Relationship Id="rId11" Type="http://schemas.openxmlformats.org/officeDocument/2006/relationships/hyperlink" Target="https://www.britannica.com/topic/universalistic-religion" TargetMode="External"/><Relationship Id="rId24" Type="http://schemas.openxmlformats.org/officeDocument/2006/relationships/hyperlink" Target="https://www.britannica.com/topic/messiah-religion" TargetMode="External"/><Relationship Id="rId32" Type="http://schemas.openxmlformats.org/officeDocument/2006/relationships/hyperlink" Target="https://www.britannica.com/topic/worship" TargetMode="External"/><Relationship Id="rId37" Type="http://schemas.openxmlformats.org/officeDocument/2006/relationships/hyperlink" Target="https://www.britannica.com/topic/Zealot" TargetMode="External"/><Relationship Id="rId40" Type="http://schemas.openxmlformats.org/officeDocument/2006/relationships/hyperlink" Target="https://www.merriam-webster.com/dictionary/dynasty" TargetMode="External"/><Relationship Id="rId45" Type="http://schemas.openxmlformats.org/officeDocument/2006/relationships/hyperlink" Target="https://www.britannica.com/topic/sacred" TargetMode="External"/><Relationship Id="rId53" Type="http://schemas.openxmlformats.org/officeDocument/2006/relationships/hyperlink" Target="https://www.britannica.com/topic/Talmud" TargetMode="External"/><Relationship Id="rId58"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www.britannica.com/place/Roman-Empire" TargetMode="External"/><Relationship Id="rId23" Type="http://schemas.openxmlformats.org/officeDocument/2006/relationships/hyperlink" Target="https://www.merriam-webster.com/dictionary/exclusive" TargetMode="External"/><Relationship Id="rId28" Type="http://schemas.openxmlformats.org/officeDocument/2006/relationships/hyperlink" Target="https://www.britannica.com/biography/David" TargetMode="External"/><Relationship Id="rId36" Type="http://schemas.openxmlformats.org/officeDocument/2006/relationships/hyperlink" Target="https://www.britannica.com/place/Jerusalem" TargetMode="External"/><Relationship Id="rId49" Type="http://schemas.openxmlformats.org/officeDocument/2006/relationships/hyperlink" Target="https://www.britannica.com/biography/Saint-Peter-the-Apostle" TargetMode="External"/><Relationship Id="rId57" Type="http://schemas.openxmlformats.org/officeDocument/2006/relationships/fontTable" Target="fontTable.xml"/><Relationship Id="rId10" Type="http://schemas.openxmlformats.org/officeDocument/2006/relationships/hyperlink" Target="https://www.britannica.com/topic/monotheism" TargetMode="External"/><Relationship Id="rId19" Type="http://schemas.openxmlformats.org/officeDocument/2006/relationships/hyperlink" Target="https://www.britannica.com/biography/Judas-Maccabeus" TargetMode="External"/><Relationship Id="rId31" Type="http://schemas.openxmlformats.org/officeDocument/2006/relationships/hyperlink" Target="https://www.britannica.com/topic/Sadducee" TargetMode="External"/><Relationship Id="rId44" Type="http://schemas.openxmlformats.org/officeDocument/2006/relationships/hyperlink" Target="https://www.britannica.com/topic/Dead-Sea-Scrolls" TargetMode="External"/><Relationship Id="rId52" Type="http://schemas.openxmlformats.org/officeDocument/2006/relationships/hyperlink" Target="https://www.britannica.com/topic/Mishna" TargetMode="External"/><Relationship Id="rId4" Type="http://schemas.openxmlformats.org/officeDocument/2006/relationships/footnotes" Target="footnotes.xml"/><Relationship Id="rId9" Type="http://schemas.openxmlformats.org/officeDocument/2006/relationships/hyperlink" Target="https://www.britannica.com/biography/Amos" TargetMode="External"/><Relationship Id="rId14" Type="http://schemas.openxmlformats.org/officeDocument/2006/relationships/hyperlink" Target="https://www.britannica.com/event/Hellenistic-Age" TargetMode="External"/><Relationship Id="rId22" Type="http://schemas.openxmlformats.org/officeDocument/2006/relationships/hyperlink" Target="https://www.britannica.com/topic/Sabbath-Judaism" TargetMode="External"/><Relationship Id="rId27" Type="http://schemas.openxmlformats.org/officeDocument/2006/relationships/hyperlink" Target="https://www.britannica.com/topic/Torah" TargetMode="External"/><Relationship Id="rId30" Type="http://schemas.openxmlformats.org/officeDocument/2006/relationships/hyperlink" Target="https://www.merriam-webster.com/dictionary/conservative" TargetMode="External"/><Relationship Id="rId35" Type="http://schemas.openxmlformats.org/officeDocument/2006/relationships/hyperlink" Target="https://www.britannica.com/topic/sanhedrin" TargetMode="External"/><Relationship Id="rId43" Type="http://schemas.openxmlformats.org/officeDocument/2006/relationships/hyperlink" Target="https://www.britannica.com/topic/Essene" TargetMode="External"/><Relationship Id="rId48" Type="http://schemas.openxmlformats.org/officeDocument/2006/relationships/hyperlink" Target="https://www.merriam-webster.com/dictionary/criticism" TargetMode="External"/><Relationship Id="rId56" Type="http://schemas.openxmlformats.org/officeDocument/2006/relationships/header" Target="header2.xml"/><Relationship Id="rId8" Type="http://schemas.openxmlformats.org/officeDocument/2006/relationships/hyperlink" Target="https://www.merriam-webster.com/dictionary/community" TargetMode="External"/><Relationship Id="rId51" Type="http://schemas.openxmlformats.org/officeDocument/2006/relationships/hyperlink" Target="https://www.merriam-webster.com/dictionary/Zealot"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1294</Words>
  <Characters>7382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Shee</dc:creator>
  <cp:lastModifiedBy>Windows User</cp:lastModifiedBy>
  <cp:revision>2</cp:revision>
  <dcterms:created xsi:type="dcterms:W3CDTF">2020-04-11T17:33:00Z</dcterms:created>
  <dcterms:modified xsi:type="dcterms:W3CDTF">2020-04-11T17:33:00Z</dcterms:modified>
</cp:coreProperties>
</file>